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left="0"/>
        <w:jc w:val="right"/>
        <w:spacing w:before="120"/>
        <w:tabs>
          <w:tab w:val="left" w:pos="993" w:leader="none"/>
          <w:tab w:val="left" w:pos="1134" w:leader="none"/>
        </w:tabs>
        <w:rPr>
          <w:color w:val="000000"/>
          <w:sz w:val="20"/>
        </w:rPr>
      </w:pPr>
      <w:r>
        <w:rPr>
          <w:color w:val="000000"/>
          <w:sz w:val="20"/>
        </w:rPr>
        <w:t xml:space="preserve">Приложение №</w:t>
      </w:r>
      <w:r>
        <w:rPr>
          <w:color w:val="000000"/>
          <w:sz w:val="20"/>
        </w:rPr>
        <w:t xml:space="preserve">1</w:t>
      </w:r>
      <w:r>
        <w:rPr>
          <w:color w:val="000000"/>
          <w:sz w:val="20"/>
        </w:rPr>
        <w:t xml:space="preserve"> к Форме раскрытия </w:t>
      </w:r>
      <w:r>
        <w:rPr>
          <w:bCs/>
          <w:sz w:val="20"/>
        </w:rPr>
        <w:t xml:space="preserve">информации акционерными</w:t>
        <w:br w:type="textWrapping" w:clear="all"/>
        <w:t xml:space="preserve">обществами, акции в уставных капиталах которых находятся</w:t>
        <w:br w:type="textWrapping" w:clear="all"/>
        <w:t xml:space="preserve">в государственной или муниципальной собственности</w:t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pStyle w:val="840"/>
        <w:ind w:left="0"/>
        <w:spacing w:before="120"/>
        <w:tabs>
          <w:tab w:val="left" w:pos="993" w:leader="none"/>
          <w:tab w:val="left" w:pos="1134" w:leader="none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840"/>
        <w:ind w:left="0"/>
        <w:tabs>
          <w:tab w:val="left" w:pos="993" w:leader="none"/>
          <w:tab w:val="left" w:pos="1134" w:leader="none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Филиалы Общества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840"/>
        <w:ind w:left="0"/>
        <w:tabs>
          <w:tab w:val="left" w:pos="993" w:leader="none"/>
          <w:tab w:val="left" w:pos="1134" w:leader="none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 состоянию на 31.03</w:t>
      </w:r>
      <w:r>
        <w:rPr>
          <w:b/>
          <w:color w:val="000000"/>
          <w:sz w:val="24"/>
          <w:szCs w:val="24"/>
        </w:rPr>
        <w:t xml:space="preserve">.2025</w:t>
      </w:r>
      <w:r>
        <w:rPr>
          <w:b/>
          <w:color w:val="000000"/>
          <w:sz w:val="24"/>
          <w:szCs w:val="24"/>
        </w:rPr>
        <w:t xml:space="preserve">: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840"/>
        <w:ind w:left="0"/>
        <w:spacing w:before="120"/>
        <w:tabs>
          <w:tab w:val="left" w:pos="993" w:leader="none"/>
          <w:tab w:val="left" w:pos="1134" w:leader="none"/>
        </w:tabs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Азове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346782, Ростовская область, г. Азов, ул. Измайлова, д.69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 Аксае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346720, Ростовская область, г. Аксай, ул. Гагарина, д.27, к.А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 Батайске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346892, Ростовская область, г. Батайск, ул. Южная, д.5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Белая Калитва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347042, Ростовская область, р-н Белокалитвинский, г. Белая Калитва, ул. Калинина, зд.25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ст. Вешенской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346270, Ростовская область, ст-ца Вешенская, ул. Есенина, д.53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Волгодонске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347360, Ростовская область, г. Волгодонск, ул. Степная, зд.57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 Донецке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346330, Ростовская область, г. Донецк, пер. Гайдара, д.8, к.А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 Зернограде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347740, Ростовская область, г. Зерноград, ул. Мира, д.26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п. Зимовники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347460, Ростовская область, п. Зимовники, ул. Круглякова, д.121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 г. Миллерово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346130, Ростовская область, г. Миллерово, ул. Промышленная, д.6, к.А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Морозовске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347210, Ростовская область, г. Морозовск, ул. Ворошилова, д.217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Новошахтинске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346908, Ростовская область, г.Новошахтинск, ул.Ростовская, д.132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Новочеркасске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346400, Ростовская область, г. Новочеркасск, ул. Народная, д.66А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п. Орловском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347512, Ростовская область, п. Орловский, ул. Транспортная, д.2, к.А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Ростов-на-Дону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344019, Ростовская область, г. Ростов-на-Дону, пр-кт Шолохова, д.14</w:t>
      </w:r>
      <w:r>
        <w:rPr>
          <w:szCs w:val="24"/>
          <w:highlight w:val="none"/>
        </w:rPr>
        <w:t xml:space="preserve">).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Сальске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347640, Ростовская область, г. Сальск, ул. Трактовая, д.53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Семикаракорске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346630, Ростовская область, г. Семикаракорск, ул. Островского, д.1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Таганроге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347904, Ростовская область, г. Таганрог, ул. Дзержинского, д.3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с. Чалтырь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346800, Ростовская область, с. Чалтырь, лн. 5-я, д.14</w:t>
      </w:r>
      <w:r>
        <w:rPr>
          <w:szCs w:val="24"/>
          <w:highlight w:val="none"/>
        </w:rPr>
        <w:t xml:space="preserve">);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836"/>
        <w:numPr>
          <w:ilvl w:val="0"/>
          <w:numId w:val="2"/>
        </w:numPr>
        <w:jc w:val="both"/>
        <w:spacing w:after="227" w:afterAutospacing="0" w:line="240" w:lineRule="auto"/>
        <w:rPr>
          <w:szCs w:val="24"/>
          <w:highlight w:val="none"/>
        </w:rPr>
      </w:pPr>
      <w:r>
        <w:rPr>
          <w:szCs w:val="24"/>
          <w:highlight w:val="none"/>
        </w:rPr>
        <w:t xml:space="preserve">Филиал ПАО «Газпром газораспределение Ростов-на-Дону» в г. Шахты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highlight w:val="none"/>
          <w:u w:val="none"/>
        </w:rPr>
        <w:t xml:space="preserve">346504, Ростовская область, г. Шахты, пер. Тюменский, д.1 к.А</w:t>
      </w:r>
      <w:r>
        <w:rPr>
          <w:szCs w:val="24"/>
          <w:highlight w:val="none"/>
        </w:rPr>
        <w:t xml:space="preserve">).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jc w:val="both"/>
        <w:spacing w:line="36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540" w:right="746" w:bottom="719" w:left="12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sz w:val="24"/>
      <w:lang w:val="ru-RU" w:eastAsia="ru-RU" w:bidi="ar-SA"/>
    </w:rPr>
  </w:style>
  <w:style w:type="character" w:styleId="837">
    <w:name w:val="Основной шрифт абзаца"/>
    <w:next w:val="837"/>
    <w:link w:val="836"/>
    <w:semiHidden/>
  </w:style>
  <w:style w:type="table" w:styleId="838">
    <w:name w:val="Обычная таблица"/>
    <w:next w:val="838"/>
    <w:link w:val="836"/>
    <w:semiHidden/>
    <w:tblPr/>
  </w:style>
  <w:style w:type="numbering" w:styleId="839">
    <w:name w:val="Нет списка"/>
    <w:next w:val="839"/>
    <w:link w:val="836"/>
    <w:semiHidden/>
  </w:style>
  <w:style w:type="paragraph" w:styleId="840">
    <w:name w:val="Основной текст с отступом 2"/>
    <w:basedOn w:val="836"/>
    <w:next w:val="840"/>
    <w:link w:val="841"/>
    <w:pPr>
      <w:ind w:left="66"/>
      <w:jc w:val="center"/>
    </w:pPr>
    <w:rPr>
      <w:sz w:val="28"/>
    </w:rPr>
  </w:style>
  <w:style w:type="character" w:styleId="841">
    <w:name w:val="Основной текст с отступом 2 Знак"/>
    <w:next w:val="841"/>
    <w:link w:val="840"/>
    <w:rPr>
      <w:sz w:val="28"/>
      <w:lang w:val="ru-RU" w:eastAsia="ru-RU" w:bidi="ar-SA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ОАО "Ростовоблгаз"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 к Форме раскрытия информации акционерными</dc:title>
  <dc:creator>kovalevich</dc:creator>
  <cp:revision>29</cp:revision>
  <dcterms:created xsi:type="dcterms:W3CDTF">2018-04-25T12:59:00Z</dcterms:created>
  <dcterms:modified xsi:type="dcterms:W3CDTF">2025-04-04T11:26:19Z</dcterms:modified>
  <cp:version>917504</cp:version>
</cp:coreProperties>
</file>